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84AD8" w:rsidRPr="006A1D71" w:rsidTr="00EF73FD">
        <w:trPr>
          <w:trHeight w:val="1438"/>
        </w:trPr>
        <w:tc>
          <w:tcPr>
            <w:tcW w:w="5508" w:type="dxa"/>
          </w:tcPr>
          <w:p w:rsidR="00584AD8" w:rsidRPr="006A1D71" w:rsidRDefault="00F10F7F">
            <w:pPr>
              <w:rPr>
                <w:sz w:val="16"/>
                <w:szCs w:val="16"/>
              </w:rPr>
            </w:pPr>
            <w:r w:rsidRPr="006A1D71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7F348F1" wp14:editId="1B420CA9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-75565</wp:posOffset>
                  </wp:positionV>
                  <wp:extent cx="2400300" cy="1004570"/>
                  <wp:effectExtent l="0" t="0" r="0" b="508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00B" w:rsidRPr="006A1D71">
              <w:rPr>
                <w:sz w:val="16"/>
                <w:szCs w:val="16"/>
              </w:rPr>
              <w:t xml:space="preserve"> </w:t>
            </w: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  <w:p w:rsidR="008A000B" w:rsidRPr="006A1D71" w:rsidRDefault="008A000B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584AD8" w:rsidRPr="006A1D71" w:rsidRDefault="00584AD8" w:rsidP="00584AD8">
            <w:pPr>
              <w:jc w:val="right"/>
            </w:pPr>
          </w:p>
        </w:tc>
      </w:tr>
    </w:tbl>
    <w:p w:rsidR="006A1D71" w:rsidRPr="006A1D71" w:rsidRDefault="006A1D71" w:rsidP="006A1D71">
      <w:pPr>
        <w:ind w:left="5103"/>
        <w:jc w:val="both"/>
      </w:pPr>
      <w:r w:rsidRPr="006A1D71">
        <w:t>УТВЕРЖДЕНО</w:t>
      </w:r>
    </w:p>
    <w:p w:rsidR="00634D2E" w:rsidRDefault="00634D2E" w:rsidP="00634D2E">
      <w:pPr>
        <w:ind w:left="5103"/>
        <w:jc w:val="both"/>
      </w:pPr>
      <w:r>
        <w:t>Приказом Генерального директора</w:t>
      </w:r>
    </w:p>
    <w:p w:rsidR="00634D2E" w:rsidRDefault="00634D2E" w:rsidP="00634D2E">
      <w:pPr>
        <w:ind w:left="5103"/>
        <w:jc w:val="both"/>
      </w:pPr>
      <w:r>
        <w:t>ООО «УК ВЕЛЕС Менеджмент»</w:t>
      </w:r>
    </w:p>
    <w:p w:rsidR="00634D2E" w:rsidRDefault="00634D2E" w:rsidP="00634D2E">
      <w:pPr>
        <w:ind w:left="5103"/>
        <w:jc w:val="both"/>
      </w:pPr>
      <w:r>
        <w:t xml:space="preserve">Приказ № </w:t>
      </w:r>
      <w:r w:rsidR="006D1194">
        <w:t>73</w:t>
      </w:r>
      <w:r>
        <w:t>/</w:t>
      </w:r>
      <w:r w:rsidR="006D1194">
        <w:t>ВМ</w:t>
      </w:r>
      <w:r>
        <w:t xml:space="preserve"> от</w:t>
      </w:r>
      <w:r w:rsidR="006D1194">
        <w:t xml:space="preserve"> 28.12.2024</w:t>
      </w:r>
    </w:p>
    <w:p w:rsidR="006A1D71" w:rsidRPr="006A1D71" w:rsidRDefault="006A1D71" w:rsidP="00634D2E">
      <w:pPr>
        <w:jc w:val="both"/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A1D71" w:rsidRDefault="006A1D71" w:rsidP="006A1D71">
      <w:pPr>
        <w:jc w:val="both"/>
        <w:rPr>
          <w:sz w:val="26"/>
          <w:szCs w:val="26"/>
        </w:rPr>
      </w:pPr>
    </w:p>
    <w:p w:rsidR="006A1D71" w:rsidRPr="006D1194" w:rsidRDefault="006D1194" w:rsidP="006A1D71">
      <w:pPr>
        <w:pStyle w:val="a7"/>
        <w:rPr>
          <w:rFonts w:ascii="Times New Roman" w:eastAsiaTheme="minorHAnsi" w:hAnsi="Times New Roman"/>
          <w:bCs/>
          <w:color w:val="000000"/>
          <w:szCs w:val="24"/>
          <w:lang w:eastAsia="en-US"/>
        </w:rPr>
      </w:pPr>
      <w:r w:rsidRPr="006D1194">
        <w:rPr>
          <w:rFonts w:ascii="Times New Roman" w:eastAsiaTheme="minorHAnsi" w:hAnsi="Times New Roman"/>
          <w:bCs/>
          <w:color w:val="000000"/>
          <w:szCs w:val="24"/>
          <w:lang w:eastAsia="en-US"/>
        </w:rPr>
        <w:t>Перечень инсайдерской информации</w:t>
      </w:r>
    </w:p>
    <w:p w:rsidR="006A1D71" w:rsidRPr="006D1194" w:rsidRDefault="006A1D71" w:rsidP="006A1D71">
      <w:pPr>
        <w:pStyle w:val="a7"/>
        <w:rPr>
          <w:rFonts w:ascii="Times New Roman" w:eastAsiaTheme="minorHAnsi" w:hAnsi="Times New Roman"/>
          <w:bCs/>
          <w:color w:val="000000"/>
          <w:szCs w:val="24"/>
          <w:lang w:eastAsia="en-US"/>
        </w:rPr>
      </w:pPr>
      <w:r w:rsidRPr="006D1194">
        <w:rPr>
          <w:rFonts w:ascii="Times New Roman" w:eastAsiaTheme="minorHAnsi" w:hAnsi="Times New Roman"/>
          <w:bCs/>
          <w:color w:val="000000"/>
          <w:szCs w:val="24"/>
          <w:lang w:eastAsia="en-US"/>
        </w:rPr>
        <w:t>ООО «УК ВЕЛЕС Менеджмент»</w:t>
      </w:r>
    </w:p>
    <w:p w:rsidR="006A1D71" w:rsidRPr="006D1194" w:rsidRDefault="006A1D71" w:rsidP="006A1D71">
      <w:pPr>
        <w:pStyle w:val="20"/>
        <w:jc w:val="center"/>
        <w:rPr>
          <w:szCs w:val="24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Pr="006A1D71" w:rsidRDefault="006A1D71" w:rsidP="006A1D71">
      <w:pPr>
        <w:pStyle w:val="20"/>
        <w:jc w:val="center"/>
        <w:rPr>
          <w:sz w:val="26"/>
          <w:szCs w:val="26"/>
        </w:rPr>
      </w:pPr>
    </w:p>
    <w:p w:rsidR="006A1D71" w:rsidRDefault="006A1D71" w:rsidP="006A1D71">
      <w:pPr>
        <w:pStyle w:val="20"/>
        <w:jc w:val="center"/>
        <w:rPr>
          <w:b w:val="0"/>
          <w:szCs w:val="24"/>
        </w:rPr>
      </w:pPr>
      <w:r w:rsidRPr="006A1D71">
        <w:rPr>
          <w:b w:val="0"/>
          <w:szCs w:val="24"/>
        </w:rPr>
        <w:t xml:space="preserve">МОСКВА, </w:t>
      </w:r>
      <w:r w:rsidR="009503BF">
        <w:rPr>
          <w:b w:val="0"/>
          <w:szCs w:val="24"/>
        </w:rPr>
        <w:t>202</w:t>
      </w:r>
      <w:bookmarkStart w:id="0" w:name="_GoBack"/>
      <w:bookmarkEnd w:id="0"/>
      <w:r w:rsidR="006D1194">
        <w:rPr>
          <w:b w:val="0"/>
          <w:szCs w:val="24"/>
        </w:rPr>
        <w:t>4</w:t>
      </w:r>
    </w:p>
    <w:p w:rsidR="006A1D71" w:rsidRPr="006A1D71" w:rsidRDefault="006A1D71" w:rsidP="006A1D71">
      <w:pPr>
        <w:pStyle w:val="20"/>
        <w:jc w:val="center"/>
        <w:rPr>
          <w:rFonts w:ascii="Arial" w:hAnsi="Arial" w:cs="Arial"/>
          <w:b w:val="0"/>
          <w:szCs w:val="24"/>
        </w:rPr>
      </w:pPr>
    </w:p>
    <w:p w:rsidR="006A1D71" w:rsidRDefault="006A1D71" w:rsidP="006A1D71">
      <w:pPr>
        <w:rPr>
          <w:rFonts w:cs="Arial"/>
        </w:rPr>
        <w:sectPr w:rsidR="006A1D71" w:rsidSect="006A1D71">
          <w:headerReference w:type="defaul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6D1194" w:rsidRPr="006D1194" w:rsidRDefault="006D1194" w:rsidP="006D1194">
      <w:pPr>
        <w:pStyle w:val="Default"/>
      </w:pP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 xml:space="preserve">Перечень инсайдерской информации ООО </w:t>
      </w:r>
      <w:r>
        <w:t>«</w:t>
      </w:r>
      <w:r w:rsidRPr="006D1194">
        <w:t>УК ВЕЛЕС Менеджмент</w:t>
      </w:r>
      <w:r>
        <w:t>»</w:t>
      </w:r>
      <w:r w:rsidRPr="006D1194">
        <w:t xml:space="preserve"> включает в себя в том числе инсайдерскую информацию, перечень которой утвержден Указанием Банка России от 27.09.2021 №5946-У «О перечне инсайдерской информации юридических лиц, указанных в пунктах 1, 3, 4, 11 и 12 статьи 4 Федерального закона от 27 июля 2010 года № 224-ФЗ «О противодействии неправомерному использованию инсайдерской информации и манипулированию рынком и о внесении изменений в</w:t>
      </w:r>
      <w:r w:rsidR="006B2D8B">
        <w:rPr>
          <w:lang w:val="en-US"/>
        </w:rPr>
        <w:t> </w:t>
      </w:r>
      <w:r w:rsidRPr="006D1194">
        <w:t xml:space="preserve">отдельные законодательные акты Российской Федерации», а также о порядке и сроках ее раскрытия». При выявлении дополнительной инсайдерской информации (отдельных видов инсайдерской информации) в перечень инсайдерской информации </w:t>
      </w:r>
      <w:r>
        <w:br/>
      </w:r>
      <w:r w:rsidRPr="006D1194">
        <w:t xml:space="preserve">ООО </w:t>
      </w:r>
      <w:r>
        <w:t>«</w:t>
      </w:r>
      <w:r w:rsidRPr="006D1194">
        <w:t>УК ВЕЛЕС Менеджмент</w:t>
      </w:r>
      <w:r>
        <w:t>»</w:t>
      </w:r>
      <w:r w:rsidRPr="006D1194">
        <w:t xml:space="preserve"> будут внесены соответствующие изменения в</w:t>
      </w:r>
      <w:r w:rsidR="006B2D8B">
        <w:rPr>
          <w:lang w:val="en-US"/>
        </w:rPr>
        <w:t> </w:t>
      </w:r>
      <w:r w:rsidRPr="006D1194">
        <w:t xml:space="preserve">установленном </w:t>
      </w:r>
      <w:r>
        <w:t>ООО «</w:t>
      </w:r>
      <w:r w:rsidRPr="006D1194">
        <w:t>УК ВЕЛЕС Менеджмент</w:t>
      </w:r>
      <w:r>
        <w:t>»</w:t>
      </w:r>
      <w:r w:rsidRPr="006D1194">
        <w:t xml:space="preserve"> порядке. </w:t>
      </w:r>
    </w:p>
    <w:p w:rsidR="006D1194" w:rsidRPr="006D1194" w:rsidRDefault="006D1194" w:rsidP="006D1194">
      <w:pPr>
        <w:pStyle w:val="Default"/>
        <w:ind w:firstLine="709"/>
        <w:jc w:val="both"/>
      </w:pP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 xml:space="preserve">1. К инсайдерской информации ООО </w:t>
      </w:r>
      <w:r>
        <w:t>«</w:t>
      </w:r>
      <w:r w:rsidRPr="006D1194">
        <w:t>УК ВЕЛЕС Менеджмент</w:t>
      </w:r>
      <w:r>
        <w:t>»</w:t>
      </w:r>
      <w:r w:rsidRPr="006D1194">
        <w:t xml:space="preserve">, как управляющей компании инвестиционных фондов, паевых инвестиционных фондов и негосударственных пенсионных фондов (далее – управляющая компания), относится: </w:t>
      </w:r>
    </w:p>
    <w:p w:rsidR="006D1194" w:rsidRPr="006D1194" w:rsidRDefault="006D1194" w:rsidP="006D1194">
      <w:pPr>
        <w:pStyle w:val="Default"/>
        <w:ind w:firstLine="709"/>
        <w:jc w:val="both"/>
      </w:pP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>1.1. информация, содержащаяся в справке о стоимости чистых активов, в том числе стоимости активов (имущества), составляющего паевой инвестиционный фонд, в</w:t>
      </w:r>
      <w:r w:rsidR="006B2D8B">
        <w:rPr>
          <w:lang w:val="en-US"/>
        </w:rPr>
        <w:t> </w:t>
      </w:r>
      <w:r w:rsidRPr="006D1194">
        <w:t>случае, если паи паевого инвестиционного фонда допущены к организованным торгам (в отношении паев паевого инвестиционного фонда подана заявка о допуске к</w:t>
      </w:r>
      <w:r w:rsidR="006B2D8B">
        <w:rPr>
          <w:lang w:val="en-US"/>
        </w:rPr>
        <w:t> </w:t>
      </w:r>
      <w:r w:rsidRPr="006D1194"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 xml:space="preserve">1.2. информация, содержащаяся в отчете о приросте (об уменьшении) стоимости имущества, составляющего паевой инвестиционный фонд в случае, если паи паевого инвестиционного фонда допущены к организованным торгам (в отношении паев паевого инвестиционного фонда подана заявка о допуске к 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 xml:space="preserve">1.3. информация о принятии управляющей компанией следующих решений: </w:t>
      </w: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>1.3.1. о приостановлении выдачи (одновременном приостановлении выдачи, погашения и обмена) инвестиционных паев паевого инвестиционного фонда, допущенных к организованным торгам (в отношении которых подана заявка о допуске к</w:t>
      </w:r>
      <w:r>
        <w:t> </w:t>
      </w:r>
      <w:r w:rsidRPr="006D1194"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>1.3.2. о возобновлении выдачи (одновременном возобновлении выдачи, погашения и обмена) инвестиционных паев паевого инвестиционного фонда, допущенных к организованным торгам (в отношении которых подана заявка о допуске к</w:t>
      </w:r>
      <w:r>
        <w:t> </w:t>
      </w:r>
      <w:r w:rsidRPr="006D1194"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</w:pPr>
      <w:r w:rsidRPr="006D1194">
        <w:t>1.3.3. о выдаче инвестиционных паев закрытого паевого инвестиционного фонда после завершения (окончания) формирования закрытого паевого инвестиционного фонда дополнительно к количеству выданных инвестиционных паев, указанных в</w:t>
      </w:r>
      <w:r>
        <w:t> </w:t>
      </w:r>
      <w:r w:rsidRPr="006D1194">
        <w:t>правилах доверительного управления закрытым паевым инвестиционным фондом, допущенных к организованным торгам (в отношении которых подана заявка о допуске к</w:t>
      </w:r>
      <w:r>
        <w:t> </w:t>
      </w:r>
      <w:r w:rsidRPr="006D1194">
        <w:t>организованным торгам), и о начале срока приема заявок на приобретение дополнительных инвестиционных паев закрытого паевого инвестиционного фонда, допущенных к организованным торгам (в отношении которых подана заявка о допуске к</w:t>
      </w:r>
      <w:r>
        <w:t> </w:t>
      </w:r>
      <w:r w:rsidRPr="006D1194"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t>1.4. информация о выплате дохода по инвестиционным паям паевого инвестиционного фонда, паи которого допущены к организованным торгам (в</w:t>
      </w:r>
      <w:r>
        <w:t> </w:t>
      </w:r>
      <w:r w:rsidRPr="006D1194">
        <w:t xml:space="preserve">отношении паев которого подана заявка о допуске к организованным торгам); </w:t>
      </w:r>
    </w:p>
    <w:p w:rsidR="006D1194" w:rsidRPr="006D1194" w:rsidRDefault="006D1194" w:rsidP="006D1194">
      <w:pPr>
        <w:pStyle w:val="Default"/>
        <w:pageBreakBefore/>
        <w:ind w:firstLine="709"/>
        <w:jc w:val="both"/>
        <w:rPr>
          <w:color w:val="auto"/>
        </w:rPr>
      </w:pPr>
      <w:r w:rsidRPr="006D1194">
        <w:rPr>
          <w:color w:val="auto"/>
        </w:rPr>
        <w:lastRenderedPageBreak/>
        <w:t xml:space="preserve">1.5. информация, содержащая изменения и дополнения, вносимые в локальный акт управляющей компании паевого инвестиционного фонда, в соответствии с которым управляющей компанией паевого инвестиционного фонда осуществляется определение стоимости чистых активов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предусмотренный пунктом 1.1 Указания Банка России от 25 августа 2015 года № 3758-У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>1.6. информация о наступлении оснований для прекращения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</w:t>
      </w:r>
      <w:r>
        <w:rPr>
          <w:color w:val="auto"/>
        </w:rPr>
        <w:t> </w:t>
      </w:r>
      <w:r w:rsidRPr="006D1194">
        <w:rPr>
          <w:color w:val="auto"/>
        </w:rPr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1.7. информация о принятии решения о передаче прав и обязанностей по договору доверительного управления паевым инвестиционным фондом,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другой управляющей компании;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1.8. информация о принятии решения о передаче прав и обязанностей по договору доверительного управления ипотечным покрытием, удостоверенным ипотечными сертификатами участия, допущенными к организованным торгам (в отношении которых подана заявка о допуске к организованным торгам), другому управляющему ипотечным покрытием, определенному в соответствии с абзацем седьмым статьи 2 Федерального закона от 11.11.2003 № 152-ФЗ «Об ипотечных ценных бумагах»;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>1.9. информация о сумме денежных средств, предполагаемых к выплате за счет платежей, полученных по обязательствам, требования по которым составляют ипотечное покрытие, удостоверенное ипотечными сертификатами участия, допущенными к</w:t>
      </w:r>
      <w:r>
        <w:rPr>
          <w:color w:val="auto"/>
        </w:rPr>
        <w:t> </w:t>
      </w:r>
      <w:r w:rsidRPr="006D1194">
        <w:rPr>
          <w:color w:val="auto"/>
        </w:rPr>
        <w:t>организованным торгам (в отношении которых подана заявка о допуске к</w:t>
      </w:r>
      <w:r>
        <w:rPr>
          <w:color w:val="auto"/>
        </w:rPr>
        <w:t> </w:t>
      </w:r>
      <w:r w:rsidRPr="006D1194">
        <w:rPr>
          <w:color w:val="auto"/>
        </w:rPr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>1.10. информация о принятии решения об обмене всех инвестиционных паев одного открытого паевого инвестиционного фонда, допущенных к организованным торгам (в отношении которых подана заявка о допуске к организованным торгам), на инвестиционные паи другого открытого паевого инвестиционного фонда, допущенные к</w:t>
      </w:r>
      <w:r w:rsidR="006B2D8B">
        <w:rPr>
          <w:color w:val="auto"/>
          <w:lang w:val="en-US"/>
        </w:rPr>
        <w:t> </w:t>
      </w:r>
      <w:r w:rsidRPr="006D1194">
        <w:rPr>
          <w:color w:val="auto"/>
        </w:rPr>
        <w:t>организованным торгам (в отношении которых подана заявка о допуске к</w:t>
      </w:r>
      <w:r w:rsidR="006B2D8B">
        <w:rPr>
          <w:color w:val="auto"/>
          <w:lang w:val="en-US"/>
        </w:rPr>
        <w:t> </w:t>
      </w:r>
      <w:r w:rsidRPr="006D1194">
        <w:rPr>
          <w:color w:val="auto"/>
        </w:rPr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>1.11. информация о решениях, принятых инвестиционным комитетом, общим собранием владельцев инвестиционных паев закрытого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общим собранием владельцев ипотечных сертификатов участия, допущенных к</w:t>
      </w:r>
      <w:r w:rsidR="006B2D8B">
        <w:rPr>
          <w:color w:val="auto"/>
          <w:lang w:val="en-US"/>
        </w:rPr>
        <w:t> </w:t>
      </w:r>
      <w:r w:rsidRPr="006D1194">
        <w:rPr>
          <w:color w:val="auto"/>
        </w:rPr>
        <w:t>организованным торгам (в отношении которых подана заявка о допуске к</w:t>
      </w:r>
      <w:r w:rsidR="006B2D8B">
        <w:rPr>
          <w:color w:val="auto"/>
          <w:lang w:val="en-US"/>
        </w:rPr>
        <w:t> </w:t>
      </w:r>
      <w:r w:rsidRPr="006D1194">
        <w:rPr>
          <w:color w:val="auto"/>
        </w:rPr>
        <w:t xml:space="preserve">организованным торгам);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1.12. информация об активах, составляющих паевой инвестиционный фонд,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и их доле в составе имущества паевого инвестиционного фонда, за исключением информации, указанной в пункте 1.1 настоящего Перечня инсайдерской информации; </w:t>
      </w:r>
    </w:p>
    <w:p w:rsidR="006D1194" w:rsidRPr="006D1194" w:rsidRDefault="006D1194" w:rsidP="006D1194">
      <w:pPr>
        <w:pStyle w:val="Default"/>
        <w:keepLines/>
        <w:ind w:firstLine="709"/>
        <w:jc w:val="both"/>
        <w:rPr>
          <w:color w:val="auto"/>
        </w:rPr>
      </w:pPr>
      <w:r w:rsidRPr="006D1194">
        <w:rPr>
          <w:color w:val="auto"/>
        </w:rPr>
        <w:lastRenderedPageBreak/>
        <w:t>1.13. информация, содержащаяся в решениях работников управляющей компании о совершении в интересах учредителей доверительного управления паевых инвестиционных фондов, владельцев ипотечных сертификатов участия, застрахованных лиц или участников негосударственных пенсионных фондов сделок с финансовыми инструментами, иностранной валютой и (или) товарами, допущенными к</w:t>
      </w:r>
      <w:r>
        <w:rPr>
          <w:color w:val="auto"/>
        </w:rPr>
        <w:t> </w:t>
      </w:r>
      <w:r w:rsidRPr="006D1194">
        <w:rPr>
          <w:color w:val="auto"/>
        </w:rPr>
        <w:t>организованным торгам (в отношении которых подана заявка о допуске к</w:t>
      </w:r>
      <w:r>
        <w:rPr>
          <w:color w:val="auto"/>
        </w:rPr>
        <w:t> </w:t>
      </w:r>
      <w:r w:rsidRPr="006D1194">
        <w:rPr>
          <w:color w:val="auto"/>
        </w:rPr>
        <w:t>организованным торгам), и (или) с финансовыми инструментами, базисным активом которых являются ценные бумаги, фондовые индексы, иностранная валюта, товары, в</w:t>
      </w:r>
      <w:r>
        <w:rPr>
          <w:color w:val="auto"/>
        </w:rPr>
        <w:t> </w:t>
      </w:r>
      <w:r w:rsidRPr="006D1194">
        <w:rPr>
          <w:color w:val="auto"/>
        </w:rPr>
        <w:t xml:space="preserve">случае когда исполнение таких решений может оказать существенное влияние на их цены.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1.14. Информация о событиях (действиях), которые могут оказать, по мнению управляющей компании, существенное влияние на стоимость инвестиционных паев паевого инвестиционного фонда, допущенных к организованным торгам (в отношении которых подана заявка о допуске к организованным торгам).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2. К инсайдерской информации 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 xml:space="preserve"> как профессионального участника рынка ценных бумаг (деятельность по управлению ценными бумагами), относится следующая информация: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2.1. о решениях работников доверительного управляющего о совершении сделок с ценными бумагами, допущенными к организованным торгам (в отношении которых подана заявка о допуске к организованным торгам), и (или) о заключении договоров, являющихся производными финансовыми инструментами, в случае, когда такие сделки и(или) договоры могут оказать существенное влияние на цены финансовых инструментов.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2.2. Информация, содержащаяся в поданных клиентами сообщениях о намерении заключить договор на организованных торгах, содержащих условия такого договора.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3. К собственной инсайдерской информации 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 xml:space="preserve"> относится следующая информация: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3.1. информация о принятии решений/заключении сделок 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 xml:space="preserve">, направленных на подготовку к реорганизации;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3.2. информация, содержащаяся в повестке дня общего собрания участников (единственного участника) 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 xml:space="preserve"> об изменении в составе органов управления 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 xml:space="preserve">;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3.3. информация, связанная с решением общего собрания участников (единственного участника) 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 xml:space="preserve"> о распределении/ не</w:t>
      </w:r>
      <w:r w:rsidR="006B2D8B">
        <w:rPr>
          <w:color w:val="auto"/>
          <w:lang w:val="en-US"/>
        </w:rPr>
        <w:t> </w:t>
      </w:r>
      <w:r w:rsidRPr="006D1194">
        <w:rPr>
          <w:color w:val="auto"/>
        </w:rPr>
        <w:t xml:space="preserve">распределении прибыли.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b/>
          <w:bCs/>
          <w:color w:val="auto"/>
        </w:rPr>
        <w:t xml:space="preserve">Заключительные положения </w:t>
      </w:r>
    </w:p>
    <w:p w:rsidR="006D1194" w:rsidRPr="006D1194" w:rsidRDefault="006D1194" w:rsidP="006D1194">
      <w:pPr>
        <w:pStyle w:val="Default"/>
        <w:ind w:firstLine="709"/>
        <w:jc w:val="both"/>
        <w:rPr>
          <w:color w:val="auto"/>
        </w:rPr>
      </w:pPr>
      <w:r w:rsidRPr="006D1194">
        <w:rPr>
          <w:color w:val="auto"/>
        </w:rPr>
        <w:t xml:space="preserve">Все вопросы, не урегулированные настоящим Перечнем, регламентируются законодательством Российской Федерации и внутренними документами </w:t>
      </w:r>
      <w:r>
        <w:rPr>
          <w:color w:val="auto"/>
        </w:rPr>
        <w:br/>
      </w:r>
      <w:r w:rsidRPr="006D1194">
        <w:rPr>
          <w:color w:val="auto"/>
        </w:rPr>
        <w:t xml:space="preserve">ООО </w:t>
      </w:r>
      <w:r>
        <w:rPr>
          <w:color w:val="auto"/>
        </w:rPr>
        <w:t>«</w:t>
      </w:r>
      <w:r w:rsidRPr="006D1194">
        <w:rPr>
          <w:color w:val="auto"/>
        </w:rPr>
        <w:t>УК ВЕЛЕС Менеджмент</w:t>
      </w:r>
      <w:r>
        <w:rPr>
          <w:color w:val="auto"/>
        </w:rPr>
        <w:t>»</w:t>
      </w:r>
      <w:r w:rsidRPr="006D1194">
        <w:rPr>
          <w:color w:val="auto"/>
        </w:rPr>
        <w:t>.</w:t>
      </w:r>
      <w:r w:rsidRPr="006D1194">
        <w:t xml:space="preserve"> </w:t>
      </w:r>
    </w:p>
    <w:p w:rsidR="00F95DB0" w:rsidRPr="006D1194" w:rsidRDefault="006D1194" w:rsidP="006B2D8B">
      <w:pPr>
        <w:ind w:firstLine="709"/>
        <w:jc w:val="both"/>
      </w:pPr>
      <w:r w:rsidRPr="006D1194">
        <w:t>В случае изменения действующего законодательства Российской Федерации, внесения изменений во</w:t>
      </w:r>
      <w:r>
        <w:t xml:space="preserve"> внутренние документы ООО «</w:t>
      </w:r>
      <w:r w:rsidRPr="006D1194">
        <w:t>УК ВЕЛЕС Менеджмент», до</w:t>
      </w:r>
      <w:r w:rsidR="006B2D8B">
        <w:rPr>
          <w:lang w:val="en-US"/>
        </w:rPr>
        <w:t> </w:t>
      </w:r>
      <w:r w:rsidRPr="006D1194">
        <w:t>приведения Перечня в соответствие с такими изменениями, настоящий документ действует в части им не противоречащей.</w:t>
      </w:r>
    </w:p>
    <w:sectPr w:rsidR="00F95DB0" w:rsidRPr="006D1194" w:rsidSect="006A1D71"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94" w:rsidRDefault="006D1194" w:rsidP="006A1D71">
      <w:r>
        <w:separator/>
      </w:r>
    </w:p>
  </w:endnote>
  <w:endnote w:type="continuationSeparator" w:id="0">
    <w:p w:rsidR="006D1194" w:rsidRDefault="006D1194" w:rsidP="006A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94" w:rsidRDefault="006D1194" w:rsidP="006A1D71">
      <w:r>
        <w:separator/>
      </w:r>
    </w:p>
  </w:footnote>
  <w:footnote w:type="continuationSeparator" w:id="0">
    <w:p w:rsidR="006D1194" w:rsidRDefault="006D1194" w:rsidP="006A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1" w:rsidRPr="006B2D8B" w:rsidRDefault="006B2D8B" w:rsidP="006A1D71">
    <w:pPr>
      <w:pStyle w:val="a7"/>
      <w:pBdr>
        <w:bottom w:val="single" w:sz="4" w:space="1" w:color="auto"/>
      </w:pBdr>
      <w:tabs>
        <w:tab w:val="right" w:pos="9070"/>
      </w:tabs>
      <w:jc w:val="left"/>
      <w:rPr>
        <w:b w:val="0"/>
        <w:sz w:val="20"/>
      </w:rPr>
    </w:pPr>
    <w:r w:rsidRPr="006B2D8B">
      <w:rPr>
        <w:rFonts w:ascii="Times New Roman" w:hAnsi="Times New Roman"/>
        <w:b w:val="0"/>
        <w:szCs w:val="24"/>
      </w:rPr>
      <w:t>Перечень инсайдерской информации</w:t>
    </w:r>
    <w:r w:rsidRPr="006A1D71">
      <w:rPr>
        <w:rFonts w:ascii="Times New Roman" w:hAnsi="Times New Roman"/>
        <w:b w:val="0"/>
        <w:szCs w:val="24"/>
      </w:rPr>
      <w:t xml:space="preserve"> </w:t>
    </w:r>
    <w:r w:rsidR="006A1D71" w:rsidRPr="006A1D71">
      <w:rPr>
        <w:rFonts w:ascii="Times New Roman" w:hAnsi="Times New Roman"/>
        <w:b w:val="0"/>
        <w:szCs w:val="24"/>
      </w:rPr>
      <w:t>ООО «УК ВЕЛЕС Менеджмент»</w:t>
    </w:r>
    <w:r w:rsidR="006A1D71">
      <w:rPr>
        <w:rFonts w:ascii="Times New Roman" w:hAnsi="Times New Roman"/>
        <w:b w:val="0"/>
        <w:szCs w:val="24"/>
      </w:rPr>
      <w:tab/>
    </w:r>
    <w:r w:rsidR="006A1D71" w:rsidRPr="006B2D8B">
      <w:rPr>
        <w:rFonts w:ascii="Times New Roman" w:hAnsi="Times New Roman"/>
        <w:b w:val="0"/>
        <w:sz w:val="20"/>
      </w:rPr>
      <w:fldChar w:fldCharType="begin"/>
    </w:r>
    <w:r w:rsidR="006A1D71" w:rsidRPr="006B2D8B">
      <w:rPr>
        <w:rFonts w:ascii="Times New Roman" w:hAnsi="Times New Roman"/>
        <w:b w:val="0"/>
        <w:sz w:val="20"/>
      </w:rPr>
      <w:instrText>PAGE   \* MERGEFORMAT</w:instrText>
    </w:r>
    <w:r w:rsidR="006A1D71" w:rsidRPr="006B2D8B">
      <w:rPr>
        <w:rFonts w:ascii="Times New Roman" w:hAnsi="Times New Roman"/>
        <w:b w:val="0"/>
        <w:sz w:val="20"/>
      </w:rPr>
      <w:fldChar w:fldCharType="separate"/>
    </w:r>
    <w:r w:rsidR="009503BF">
      <w:rPr>
        <w:rFonts w:ascii="Times New Roman" w:hAnsi="Times New Roman"/>
        <w:b w:val="0"/>
        <w:noProof/>
        <w:sz w:val="20"/>
      </w:rPr>
      <w:t>4</w:t>
    </w:r>
    <w:r w:rsidR="006A1D71" w:rsidRPr="006B2D8B">
      <w:rPr>
        <w:rFonts w:ascii="Times New Roman" w:hAnsi="Times New Roman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675"/>
    <w:multiLevelType w:val="hybridMultilevel"/>
    <w:tmpl w:val="1678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94"/>
    <w:rsid w:val="00080397"/>
    <w:rsid w:val="00080E0E"/>
    <w:rsid w:val="000A5368"/>
    <w:rsid w:val="000F1330"/>
    <w:rsid w:val="001663B9"/>
    <w:rsid w:val="00182E36"/>
    <w:rsid w:val="00193F58"/>
    <w:rsid w:val="00196C78"/>
    <w:rsid w:val="001C0044"/>
    <w:rsid w:val="001E23D6"/>
    <w:rsid w:val="00206654"/>
    <w:rsid w:val="00244434"/>
    <w:rsid w:val="00254E94"/>
    <w:rsid w:val="002729BB"/>
    <w:rsid w:val="00283141"/>
    <w:rsid w:val="00303C2C"/>
    <w:rsid w:val="00326E27"/>
    <w:rsid w:val="00331125"/>
    <w:rsid w:val="00393C72"/>
    <w:rsid w:val="003F53FF"/>
    <w:rsid w:val="00415CD6"/>
    <w:rsid w:val="00433BEC"/>
    <w:rsid w:val="00473CAB"/>
    <w:rsid w:val="004C789A"/>
    <w:rsid w:val="004F122E"/>
    <w:rsid w:val="004F2E78"/>
    <w:rsid w:val="005067BB"/>
    <w:rsid w:val="0052613D"/>
    <w:rsid w:val="00547086"/>
    <w:rsid w:val="00563121"/>
    <w:rsid w:val="00584AD8"/>
    <w:rsid w:val="00586F3C"/>
    <w:rsid w:val="005B6B0F"/>
    <w:rsid w:val="005E70EB"/>
    <w:rsid w:val="00621D1E"/>
    <w:rsid w:val="00634D2E"/>
    <w:rsid w:val="006400C6"/>
    <w:rsid w:val="006A1D71"/>
    <w:rsid w:val="006B2D8B"/>
    <w:rsid w:val="006D1194"/>
    <w:rsid w:val="00704EA3"/>
    <w:rsid w:val="0072484E"/>
    <w:rsid w:val="00765440"/>
    <w:rsid w:val="007777A3"/>
    <w:rsid w:val="00777D74"/>
    <w:rsid w:val="007A33E1"/>
    <w:rsid w:val="007B0786"/>
    <w:rsid w:val="0081085F"/>
    <w:rsid w:val="00830721"/>
    <w:rsid w:val="00881022"/>
    <w:rsid w:val="00887083"/>
    <w:rsid w:val="00894655"/>
    <w:rsid w:val="008A000B"/>
    <w:rsid w:val="008D082A"/>
    <w:rsid w:val="009503BF"/>
    <w:rsid w:val="00955D6E"/>
    <w:rsid w:val="00981F52"/>
    <w:rsid w:val="00A03C49"/>
    <w:rsid w:val="00A33C38"/>
    <w:rsid w:val="00A633BA"/>
    <w:rsid w:val="00A75048"/>
    <w:rsid w:val="00A868F0"/>
    <w:rsid w:val="00AD15B2"/>
    <w:rsid w:val="00AF1DCF"/>
    <w:rsid w:val="00AF2925"/>
    <w:rsid w:val="00AF458A"/>
    <w:rsid w:val="00AF65AA"/>
    <w:rsid w:val="00B03D03"/>
    <w:rsid w:val="00B23384"/>
    <w:rsid w:val="00B27611"/>
    <w:rsid w:val="00B94EC8"/>
    <w:rsid w:val="00BB507E"/>
    <w:rsid w:val="00BD5CD0"/>
    <w:rsid w:val="00C77F77"/>
    <w:rsid w:val="00CA3820"/>
    <w:rsid w:val="00CB4A98"/>
    <w:rsid w:val="00CF1EEB"/>
    <w:rsid w:val="00D64C1B"/>
    <w:rsid w:val="00D80DBD"/>
    <w:rsid w:val="00DE2891"/>
    <w:rsid w:val="00DE45CA"/>
    <w:rsid w:val="00DE61CC"/>
    <w:rsid w:val="00E3158F"/>
    <w:rsid w:val="00E36A93"/>
    <w:rsid w:val="00E6296E"/>
    <w:rsid w:val="00E8505B"/>
    <w:rsid w:val="00EF73FD"/>
    <w:rsid w:val="00F10F7F"/>
    <w:rsid w:val="00F66A47"/>
    <w:rsid w:val="00F8086D"/>
    <w:rsid w:val="00F95DB0"/>
    <w:rsid w:val="00FB3208"/>
    <w:rsid w:val="00FB4CFD"/>
    <w:rsid w:val="00FE1013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78539"/>
  <w15:docId w15:val="{C8C5B8E1-254C-494D-BEDA-872FF301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3FD"/>
    <w:pPr>
      <w:keepNext/>
      <w:outlineLvl w:val="0"/>
    </w:pPr>
    <w:rPr>
      <w:b/>
      <w:sz w:val="20"/>
      <w:szCs w:val="20"/>
      <w:lang w:eastAsia="en-US"/>
    </w:rPr>
  </w:style>
  <w:style w:type="paragraph" w:styleId="2">
    <w:name w:val="heading 2"/>
    <w:basedOn w:val="a"/>
    <w:next w:val="a"/>
    <w:qFormat/>
    <w:rsid w:val="00EF73FD"/>
    <w:pPr>
      <w:keepNext/>
      <w:outlineLvl w:val="1"/>
    </w:pPr>
    <w:rPr>
      <w:b/>
      <w:bCs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078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B6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8A000B"/>
    <w:rPr>
      <w:color w:val="0000FF"/>
      <w:u w:val="single"/>
    </w:rPr>
  </w:style>
  <w:style w:type="paragraph" w:customStyle="1" w:styleId="a6">
    <w:name w:val="Вид документа"/>
    <w:basedOn w:val="a"/>
    <w:rsid w:val="006A1D71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7">
    <w:name w:val="Разновидность документа"/>
    <w:basedOn w:val="a"/>
    <w:rsid w:val="006A1D71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6A1D71"/>
    <w:rPr>
      <w:b/>
      <w:szCs w:val="20"/>
    </w:rPr>
  </w:style>
  <w:style w:type="character" w:customStyle="1" w:styleId="21">
    <w:name w:val="Основной текст 2 Знак"/>
    <w:basedOn w:val="a0"/>
    <w:link w:val="20"/>
    <w:rsid w:val="006A1D71"/>
    <w:rPr>
      <w:b/>
      <w:sz w:val="24"/>
    </w:rPr>
  </w:style>
  <w:style w:type="paragraph" w:styleId="a8">
    <w:name w:val="header"/>
    <w:basedOn w:val="a"/>
    <w:link w:val="a9"/>
    <w:unhideWhenUsed/>
    <w:rsid w:val="006A1D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A1D71"/>
    <w:rPr>
      <w:sz w:val="24"/>
      <w:szCs w:val="24"/>
    </w:rPr>
  </w:style>
  <w:style w:type="paragraph" w:styleId="aa">
    <w:name w:val="footer"/>
    <w:basedOn w:val="a"/>
    <w:link w:val="ab"/>
    <w:unhideWhenUsed/>
    <w:rsid w:val="006A1D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A1D71"/>
    <w:rPr>
      <w:sz w:val="24"/>
      <w:szCs w:val="24"/>
    </w:rPr>
  </w:style>
  <w:style w:type="paragraph" w:customStyle="1" w:styleId="Default">
    <w:name w:val="Default"/>
    <w:rsid w:val="006D1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061734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k-fs01\WorkFolders\&#1059;&#1044;&#1054;\10_&#1044;&#1045;&#1051;&#1054;&#1055;&#1056;&#1054;&#1048;&#1047;&#1042;&#1054;&#1044;&#1057;&#1058;&#1042;&#1054;\&#1064;&#1040;&#1041;&#1051;&#1054;&#1053;&#1067;\&#1064;&#1072;&#1073;&#1083;&#1086;&#1085;%20&#1076;&#1083;&#1103;%20&#1074;&#1085;&#1091;&#1090;&#1088;&#1077;&#1085;&#1085;&#1077;&#1075;&#1086;%20&#1076;&#1086;&#1082;&#1091;&#1084;&#1077;&#1085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внутреннего документа</Template>
  <TotalTime>26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>VELES Capital</Company>
  <LinksUpToDate>false</LinksUpToDate>
  <CharactersWithSpaces>9476</CharactersWithSpaces>
  <SharedDoc>false</SharedDoc>
  <HLinks>
    <vt:vector size="6" baseType="variant">
      <vt:variant>
        <vt:i4>8257659</vt:i4>
      </vt:variant>
      <vt:variant>
        <vt:i4>0</vt:i4>
      </vt:variant>
      <vt:variant>
        <vt:i4>0</vt:i4>
      </vt:variant>
      <vt:variant>
        <vt:i4>5</vt:i4>
      </vt:variant>
      <vt:variant>
        <vt:lpwstr>http://www.veles-management.ru/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Майорова Валерия Сергеевна</dc:creator>
  <cp:lastModifiedBy>Майорова Валерия Сергеевна</cp:lastModifiedBy>
  <cp:revision>2</cp:revision>
  <cp:lastPrinted>2025-06-11T12:11:00Z</cp:lastPrinted>
  <dcterms:created xsi:type="dcterms:W3CDTF">2025-06-11T11:45:00Z</dcterms:created>
  <dcterms:modified xsi:type="dcterms:W3CDTF">2025-06-11T12:11:00Z</dcterms:modified>
</cp:coreProperties>
</file>